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2702D0A2" wp14:editId="320A9737">
            <wp:simplePos x="0" y="0"/>
            <wp:positionH relativeFrom="column">
              <wp:posOffset>-635</wp:posOffset>
            </wp:positionH>
            <wp:positionV relativeFrom="paragraph">
              <wp:posOffset>-5080</wp:posOffset>
            </wp:positionV>
            <wp:extent cx="4356100" cy="2755900"/>
            <wp:effectExtent l="0" t="0" r="25400" b="25400"/>
            <wp:wrapTight wrapText="bothSides">
              <wp:wrapPolygon edited="0">
                <wp:start x="0" y="0"/>
                <wp:lineTo x="0" y="21650"/>
                <wp:lineTo x="21631" y="21650"/>
                <wp:lineTo x="21631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Gráfico 1</w:t>
      </w:r>
    </w:p>
    <w:p w:rsidR="00167A46" w:rsidRDefault="00167A46"/>
    <w:p w:rsidR="00CB6C71" w:rsidRDefault="00CB6C71"/>
    <w:p w:rsidR="00CB6C71" w:rsidRDefault="00CB6C71"/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 wp14:anchorId="2F346513" wp14:editId="08164B78">
            <wp:simplePos x="0" y="0"/>
            <wp:positionH relativeFrom="column">
              <wp:posOffset>-635</wp:posOffset>
            </wp:positionH>
            <wp:positionV relativeFrom="paragraph">
              <wp:posOffset>-5715</wp:posOffset>
            </wp:positionV>
            <wp:extent cx="4356100" cy="2819400"/>
            <wp:effectExtent l="0" t="0" r="25400" b="19050"/>
            <wp:wrapTight wrapText="bothSides">
              <wp:wrapPolygon edited="0">
                <wp:start x="0" y="0"/>
                <wp:lineTo x="0" y="21600"/>
                <wp:lineTo x="21631" y="21600"/>
                <wp:lineTo x="21631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Gráfico 2</w:t>
      </w:r>
    </w:p>
    <w:p w:rsidR="00CB6C71" w:rsidRDefault="00CB6C71"/>
    <w:p w:rsidR="00CB6C71" w:rsidRDefault="00CB6C71"/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hAnsi="Times New Roman" w:cs="Times New Roman"/>
          <w:noProof/>
          <w:lang w:eastAsia="pt-PT"/>
        </w:rPr>
        <w:lastRenderedPageBreak/>
        <w:drawing>
          <wp:anchor distT="0" distB="0" distL="114300" distR="114300" simplePos="0" relativeHeight="251663360" behindDoc="1" locked="0" layoutInCell="1" allowOverlap="1" wp14:anchorId="4969765E" wp14:editId="6DEEC97D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4355465" cy="2649855"/>
            <wp:effectExtent l="19050" t="19050" r="26035" b="17145"/>
            <wp:wrapTight wrapText="bothSides">
              <wp:wrapPolygon edited="0">
                <wp:start x="-94" y="-155"/>
                <wp:lineTo x="-94" y="21584"/>
                <wp:lineTo x="21635" y="21584"/>
                <wp:lineTo x="21635" y="-155"/>
                <wp:lineTo x="-94" y="-155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8" t="18460" r="13407" b="9133"/>
                    <a:stretch/>
                  </pic:blipFill>
                  <pic:spPr bwMode="auto">
                    <a:xfrm>
                      <a:off x="0" y="0"/>
                      <a:ext cx="4355465" cy="2649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779">
        <w:rPr>
          <w:rFonts w:ascii="Times New Roman" w:hAnsi="Times New Roman" w:cs="Times New Roman"/>
          <w:noProof/>
          <w:lang w:eastAsia="pt-PT"/>
        </w:rPr>
        <w:t xml:space="preserve"> </w:t>
      </w: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Gráfico 3</w:t>
      </w:r>
    </w:p>
    <w:p w:rsidR="00CB6C71" w:rsidRDefault="00CB6C71"/>
    <w:p w:rsidR="00CB6C71" w:rsidRDefault="00CB6C71"/>
    <w:p w:rsidR="00CB6C71" w:rsidRDefault="00CB6C71"/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tbl>
      <w:tblPr>
        <w:tblStyle w:val="Tabelacomgrelha"/>
        <w:tblpPr w:leftFromText="141" w:rightFromText="141" w:vertAnchor="text" w:tblpY="1"/>
        <w:tblOverlap w:val="never"/>
        <w:tblW w:w="5380" w:type="dxa"/>
        <w:tblLook w:val="04A0" w:firstRow="1" w:lastRow="0" w:firstColumn="1" w:lastColumn="0" w:noHBand="0" w:noVBand="1"/>
      </w:tblPr>
      <w:tblGrid>
        <w:gridCol w:w="2260"/>
        <w:gridCol w:w="1040"/>
        <w:gridCol w:w="1040"/>
        <w:gridCol w:w="1040"/>
      </w:tblGrid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Comorbilidades</w:t>
            </w:r>
            <w:proofErr w:type="spellEnd"/>
          </w:p>
        </w:tc>
        <w:tc>
          <w:tcPr>
            <w:tcW w:w="1040" w:type="dxa"/>
            <w:noWrap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value</w:t>
            </w:r>
            <w:proofErr w:type="spellEnd"/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OR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HTA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60,7%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0,047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1,487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Dislipidemia</w:t>
            </w:r>
            <w:proofErr w:type="spellEnd"/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28,8%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0,059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1,469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Diabetes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16,2%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0,109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1,481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Patologia nasal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9,3%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0,558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1,205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Acidente vascular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9,1%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0,179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1,517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Coagulopatia</w:t>
            </w:r>
            <w:proofErr w:type="spellEnd"/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5,3%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0,036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2,205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Cirurgia nasal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2,0%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0,190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2,196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Fumador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1,8%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0,032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4,000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Gravidez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0,5%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0,189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5,232</w:t>
            </w:r>
          </w:p>
        </w:tc>
      </w:tr>
      <w:tr w:rsidR="00CB6C71" w:rsidRPr="002E1779" w:rsidTr="002647E9">
        <w:trPr>
          <w:trHeight w:val="283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Nenhum</w:t>
            </w:r>
          </w:p>
        </w:tc>
        <w:tc>
          <w:tcPr>
            <w:tcW w:w="104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26,8%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0,003</w:t>
            </w:r>
          </w:p>
        </w:tc>
        <w:tc>
          <w:tcPr>
            <w:tcW w:w="1040" w:type="dxa"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0,493</w:t>
            </w:r>
          </w:p>
        </w:tc>
      </w:tr>
    </w:tbl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Tabela 1</w:t>
      </w:r>
    </w:p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318"/>
        <w:gridCol w:w="1066"/>
        <w:gridCol w:w="979"/>
        <w:gridCol w:w="979"/>
      </w:tblGrid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2E1779">
              <w:rPr>
                <w:rFonts w:ascii="Times New Roman" w:hAnsi="Times New Roman" w:cs="Times New Roman"/>
                <w:b/>
                <w:color w:val="000000"/>
              </w:rPr>
              <w:lastRenderedPageBreak/>
              <w:t>Medicação habitual</w:t>
            </w:r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p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OR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Nenhuma</w:t>
            </w:r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39,0%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0,493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Anti-hipertensor</w:t>
            </w:r>
            <w:proofErr w:type="spellEnd"/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43,4%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0,063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1,426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Anti-agregante</w:t>
            </w:r>
            <w:proofErr w:type="spellEnd"/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26,4%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0,731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1,076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Anti-coagulante</w:t>
            </w:r>
            <w:proofErr w:type="spellEnd"/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E1779">
              <w:rPr>
                <w:rFonts w:ascii="Times New Roman" w:hAnsi="Times New Roman" w:cs="Times New Roman"/>
                <w:b/>
                <w:color w:val="000000"/>
              </w:rPr>
              <w:t>17,3%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&lt;0,001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449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Flebotónico</w:t>
            </w:r>
            <w:proofErr w:type="spellEnd"/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5,5%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0,492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1,315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Vasoconstritor nasal</w:t>
            </w:r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0,673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1,298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Ácido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aminocaproico</w:t>
            </w:r>
            <w:proofErr w:type="spellEnd"/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1,3%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1,036</w:t>
            </w:r>
          </w:p>
        </w:tc>
      </w:tr>
      <w:tr w:rsidR="00CB6C71" w:rsidRPr="002E1779" w:rsidTr="002647E9">
        <w:trPr>
          <w:trHeight w:val="113"/>
        </w:trPr>
        <w:tc>
          <w:tcPr>
            <w:tcW w:w="2318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1779">
              <w:rPr>
                <w:rFonts w:ascii="Times New Roman" w:hAnsi="Times New Roman" w:cs="Times New Roman"/>
                <w:color w:val="000000"/>
              </w:rPr>
              <w:t>Corticóide</w:t>
            </w:r>
            <w:proofErr w:type="spellEnd"/>
            <w:r w:rsidRPr="002E1779">
              <w:rPr>
                <w:rFonts w:ascii="Times New Roman" w:hAnsi="Times New Roman" w:cs="Times New Roman"/>
                <w:color w:val="000000"/>
              </w:rPr>
              <w:t xml:space="preserve"> nasal</w:t>
            </w:r>
          </w:p>
        </w:tc>
        <w:tc>
          <w:tcPr>
            <w:tcW w:w="1066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0,9%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0,622</w:t>
            </w:r>
          </w:p>
        </w:tc>
        <w:tc>
          <w:tcPr>
            <w:tcW w:w="979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1,735</w:t>
            </w:r>
          </w:p>
        </w:tc>
      </w:tr>
    </w:tbl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Tabela 2</w:t>
      </w:r>
    </w:p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tbl>
      <w:tblPr>
        <w:tblStyle w:val="Tabelacomgrelha"/>
        <w:tblpPr w:leftFromText="141" w:rightFromText="141" w:vertAnchor="text" w:tblpY="1"/>
        <w:tblOverlap w:val="never"/>
        <w:tblW w:w="5053" w:type="dxa"/>
        <w:tblLook w:val="04A0" w:firstRow="1" w:lastRow="0" w:firstColumn="1" w:lastColumn="0" w:noHBand="0" w:noVBand="1"/>
      </w:tblPr>
      <w:tblGrid>
        <w:gridCol w:w="2260"/>
        <w:gridCol w:w="825"/>
        <w:gridCol w:w="1008"/>
        <w:gridCol w:w="960"/>
      </w:tblGrid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CA782A" w:rsidRDefault="00CB6C71" w:rsidP="002647E9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CA782A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 xml:space="preserve">Métodos </w:t>
            </w:r>
            <w:proofErr w:type="spellStart"/>
            <w:r w:rsidRPr="00CA782A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hemostase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:rsidR="00CB6C71" w:rsidRPr="00CA782A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CA782A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CA782A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CA782A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p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CA782A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CA782A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OR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Combinação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48,7%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Merocel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®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43,0%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0,264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1,304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Nitrato Prata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25,0%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0,968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0,991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Spongostan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®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23,3%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0,293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0,783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Gaze </w:t>
            </w: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iodoformada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11,7%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0,521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1,203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Gelo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8,4%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0,454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1,280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Captopril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8,0%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0,097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1,708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Vasoconstritor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5,5%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0,789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1,116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Dexpantenol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0,5%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0,189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5,232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Surgicel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®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0,5%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1,000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1,296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  <w:hideMark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Compressa (dardos)</w:t>
            </w:r>
          </w:p>
        </w:tc>
        <w:tc>
          <w:tcPr>
            <w:tcW w:w="825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0,4%</w:t>
            </w:r>
          </w:p>
        </w:tc>
        <w:tc>
          <w:tcPr>
            <w:tcW w:w="1008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1,000</w:t>
            </w:r>
          </w:p>
        </w:tc>
        <w:tc>
          <w:tcPr>
            <w:tcW w:w="960" w:type="dxa"/>
            <w:noWrap/>
            <w:vAlign w:val="center"/>
            <w:hideMark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Embolização</w:t>
            </w:r>
            <w:proofErr w:type="spellEnd"/>
          </w:p>
        </w:tc>
        <w:tc>
          <w:tcPr>
            <w:tcW w:w="825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0,18%</w:t>
            </w:r>
          </w:p>
        </w:tc>
        <w:tc>
          <w:tcPr>
            <w:tcW w:w="1008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  <w:tc>
          <w:tcPr>
            <w:tcW w:w="960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</w:tr>
      <w:tr w:rsidR="00CB6C71" w:rsidRPr="002E1779" w:rsidTr="002647E9">
        <w:trPr>
          <w:trHeight w:val="288"/>
        </w:trPr>
        <w:tc>
          <w:tcPr>
            <w:tcW w:w="2260" w:type="dxa"/>
            <w:noWrap/>
            <w:vAlign w:val="center"/>
          </w:tcPr>
          <w:p w:rsidR="00CB6C71" w:rsidRPr="002E1779" w:rsidRDefault="00CB6C71" w:rsidP="002647E9">
            <w:pPr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Laqueação arterial</w:t>
            </w:r>
          </w:p>
        </w:tc>
        <w:tc>
          <w:tcPr>
            <w:tcW w:w="825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0,18%</w:t>
            </w:r>
          </w:p>
        </w:tc>
        <w:tc>
          <w:tcPr>
            <w:tcW w:w="1008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  <w:tc>
          <w:tcPr>
            <w:tcW w:w="960" w:type="dxa"/>
            <w:noWrap/>
            <w:vAlign w:val="center"/>
          </w:tcPr>
          <w:p w:rsidR="00CB6C71" w:rsidRPr="002E1779" w:rsidRDefault="00CB6C71" w:rsidP="002647E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---</w:t>
            </w:r>
          </w:p>
        </w:tc>
      </w:tr>
    </w:tbl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Tabela 3</w:t>
      </w:r>
    </w:p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57"/>
        <w:gridCol w:w="895"/>
        <w:gridCol w:w="821"/>
        <w:gridCol w:w="821"/>
      </w:tblGrid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D02BCB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02BCB">
              <w:rPr>
                <w:rFonts w:ascii="Times New Roman" w:hAnsi="Times New Roman" w:cs="Times New Roman"/>
                <w:b/>
                <w:color w:val="000000"/>
              </w:rPr>
              <w:t>Medicação ambulatório</w:t>
            </w:r>
          </w:p>
        </w:tc>
        <w:tc>
          <w:tcPr>
            <w:tcW w:w="895" w:type="dxa"/>
            <w:vAlign w:val="center"/>
          </w:tcPr>
          <w:p w:rsidR="00CB6C71" w:rsidRPr="00D02BCB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D02BCB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p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 w:rsidRPr="002E1779"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OR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Antibiótico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42,8%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0,016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1,583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Dexpantenol</w:t>
            </w:r>
            <w:proofErr w:type="spellEnd"/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32,2%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0,907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Ácido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Aminocaproico</w:t>
            </w:r>
            <w:proofErr w:type="spellEnd"/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15,7%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0,299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0,752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Vasoconstritor nasal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10,2%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0,902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1,039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1779">
              <w:rPr>
                <w:rFonts w:ascii="Times New Roman" w:hAnsi="Times New Roman" w:cs="Times New Roman"/>
                <w:color w:val="000000"/>
              </w:rPr>
              <w:t>Venotrópico</w:t>
            </w:r>
            <w:proofErr w:type="spellEnd"/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8,9%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0,375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0,730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Gelo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8,4%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0,778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0,906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Ansiolítico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4,6%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0,988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1,007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1779">
              <w:rPr>
                <w:rFonts w:ascii="Times New Roman" w:hAnsi="Times New Roman" w:cs="Times New Roman"/>
                <w:color w:val="000000"/>
              </w:rPr>
              <w:t>Anti-HTA</w:t>
            </w:r>
            <w:proofErr w:type="spellEnd"/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1,6%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0,068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Vitaminas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1,3%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0,405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1,960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Anti-histamínico</w:t>
            </w:r>
          </w:p>
        </w:tc>
        <w:tc>
          <w:tcPr>
            <w:tcW w:w="895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1779">
              <w:rPr>
                <w:rFonts w:ascii="Times New Roman" w:hAnsi="Times New Roman" w:cs="Times New Roman"/>
                <w:color w:val="000000"/>
              </w:rPr>
              <w:t>0,9%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0,622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1,735</w:t>
            </w:r>
          </w:p>
        </w:tc>
      </w:tr>
    </w:tbl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Tabela 4</w:t>
      </w:r>
    </w:p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57"/>
        <w:gridCol w:w="895"/>
        <w:gridCol w:w="821"/>
        <w:gridCol w:w="1647"/>
      </w:tblGrid>
      <w:tr w:rsidR="00CB6C71" w:rsidRPr="002E1779" w:rsidTr="002647E9">
        <w:trPr>
          <w:trHeight w:val="288"/>
        </w:trPr>
        <w:tc>
          <w:tcPr>
            <w:tcW w:w="2557" w:type="dxa"/>
            <w:vAlign w:val="center"/>
          </w:tcPr>
          <w:p w:rsidR="00CB6C71" w:rsidRPr="00D02BCB" w:rsidRDefault="00CB6C71" w:rsidP="0026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Factor</w:t>
            </w:r>
            <w:proofErr w:type="spellEnd"/>
          </w:p>
        </w:tc>
        <w:tc>
          <w:tcPr>
            <w:tcW w:w="895" w:type="dxa"/>
            <w:vAlign w:val="center"/>
          </w:tcPr>
          <w:p w:rsidR="00CB6C71" w:rsidRPr="00D02BCB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p</w:t>
            </w:r>
          </w:p>
        </w:tc>
        <w:tc>
          <w:tcPr>
            <w:tcW w:w="821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HR</w:t>
            </w:r>
          </w:p>
        </w:tc>
        <w:tc>
          <w:tcPr>
            <w:tcW w:w="1647" w:type="dxa"/>
            <w:vAlign w:val="center"/>
          </w:tcPr>
          <w:p w:rsidR="00CB6C71" w:rsidRPr="002E1779" w:rsidRDefault="00CB6C71" w:rsidP="00264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PT"/>
              </w:rPr>
              <w:t>IC95% HR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Anti-coagulação</w:t>
            </w:r>
            <w:proofErr w:type="spellEnd"/>
          </w:p>
        </w:tc>
        <w:tc>
          <w:tcPr>
            <w:tcW w:w="895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0,001</w:t>
            </w:r>
          </w:p>
        </w:tc>
        <w:tc>
          <w:tcPr>
            <w:tcW w:w="821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2,258</w:t>
            </w:r>
          </w:p>
        </w:tc>
        <w:tc>
          <w:tcPr>
            <w:tcW w:w="1647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[1,388; 3,675]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Coagulopatia</w:t>
            </w:r>
            <w:proofErr w:type="spellEnd"/>
          </w:p>
        </w:tc>
        <w:tc>
          <w:tcPr>
            <w:tcW w:w="895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0,015</w:t>
            </w:r>
          </w:p>
        </w:tc>
        <w:tc>
          <w:tcPr>
            <w:tcW w:w="821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2,792</w:t>
            </w:r>
          </w:p>
        </w:tc>
        <w:tc>
          <w:tcPr>
            <w:tcW w:w="1647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[1,221; 6,384]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HTA</w:t>
            </w:r>
          </w:p>
        </w:tc>
        <w:tc>
          <w:tcPr>
            <w:tcW w:w="895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0,148</w:t>
            </w:r>
          </w:p>
        </w:tc>
        <w:tc>
          <w:tcPr>
            <w:tcW w:w="821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1,380</w:t>
            </w:r>
          </w:p>
        </w:tc>
        <w:tc>
          <w:tcPr>
            <w:tcW w:w="1647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[0,892; 2,136]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Tabagismo</w:t>
            </w:r>
          </w:p>
        </w:tc>
        <w:tc>
          <w:tcPr>
            <w:tcW w:w="895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0,037</w:t>
            </w:r>
          </w:p>
        </w:tc>
        <w:tc>
          <w:tcPr>
            <w:tcW w:w="821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4,200</w:t>
            </w:r>
          </w:p>
        </w:tc>
        <w:tc>
          <w:tcPr>
            <w:tcW w:w="1647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[1,094; 16,128]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Internamento</w:t>
            </w:r>
          </w:p>
        </w:tc>
        <w:tc>
          <w:tcPr>
            <w:tcW w:w="895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0,002</w:t>
            </w:r>
          </w:p>
        </w:tc>
        <w:tc>
          <w:tcPr>
            <w:tcW w:w="821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>0,230</w:t>
            </w:r>
          </w:p>
        </w:tc>
        <w:tc>
          <w:tcPr>
            <w:tcW w:w="1647" w:type="dxa"/>
            <w:vAlign w:val="bottom"/>
          </w:tcPr>
          <w:p w:rsidR="00CB6C71" w:rsidRPr="00FD4D56" w:rsidRDefault="00CB6C71" w:rsidP="002647E9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D4D56">
              <w:rPr>
                <w:rFonts w:ascii="Calibri" w:hAnsi="Calibri"/>
                <w:b/>
                <w:color w:val="000000"/>
              </w:rPr>
              <w:t xml:space="preserve">[0,093; 0,571] </w:t>
            </w:r>
          </w:p>
        </w:tc>
      </w:tr>
      <w:tr w:rsidR="00CB6C71" w:rsidRPr="002E1779" w:rsidTr="002647E9">
        <w:trPr>
          <w:trHeight w:val="288"/>
        </w:trPr>
        <w:tc>
          <w:tcPr>
            <w:tcW w:w="2557" w:type="dxa"/>
            <w:vAlign w:val="bottom"/>
          </w:tcPr>
          <w:p w:rsidR="00CB6C71" w:rsidRDefault="00CB6C71" w:rsidP="002647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Antibiótico</w:t>
            </w:r>
          </w:p>
        </w:tc>
        <w:tc>
          <w:tcPr>
            <w:tcW w:w="895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0,918</w:t>
            </w:r>
          </w:p>
        </w:tc>
        <w:tc>
          <w:tcPr>
            <w:tcW w:w="821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1,024</w:t>
            </w:r>
          </w:p>
        </w:tc>
        <w:tc>
          <w:tcPr>
            <w:tcW w:w="1647" w:type="dxa"/>
            <w:vAlign w:val="bottom"/>
          </w:tcPr>
          <w:p w:rsidR="00CB6C71" w:rsidRDefault="00CB6C71" w:rsidP="002647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[0,657; 1,599]</w:t>
            </w:r>
          </w:p>
        </w:tc>
      </w:tr>
    </w:tbl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Tabela 5</w:t>
      </w:r>
    </w:p>
    <w:p w:rsidR="00CB6C71" w:rsidRDefault="00CB6C71"/>
    <w:p w:rsidR="00CB6C71" w:rsidRDefault="00CB6C71"/>
    <w:p w:rsidR="00CB6C71" w:rsidRDefault="00CB6C71"/>
    <w:p w:rsidR="00CB6C71" w:rsidRDefault="00CB6C71"/>
    <w:p w:rsidR="00CB6C71" w:rsidRDefault="00CB6C71"/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PT"/>
        </w:rPr>
        <w:lastRenderedPageBreak/>
        <w:drawing>
          <wp:anchor distT="0" distB="0" distL="114300" distR="114300" simplePos="0" relativeHeight="251665408" behindDoc="1" locked="0" layoutInCell="1" allowOverlap="1" wp14:anchorId="6A2C6712" wp14:editId="447B0444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4343400" cy="2692400"/>
            <wp:effectExtent l="0" t="0" r="19050" b="12700"/>
            <wp:wrapTight wrapText="bothSides">
              <wp:wrapPolygon edited="0">
                <wp:start x="0" y="0"/>
                <wp:lineTo x="0" y="21549"/>
                <wp:lineTo x="21600" y="21549"/>
                <wp:lineTo x="21600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C71" w:rsidRPr="002E1779" w:rsidRDefault="00CB6C71" w:rsidP="00CB6C7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E177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Gráfico 4</w:t>
      </w:r>
    </w:p>
    <w:p w:rsidR="00CB6C71" w:rsidRDefault="00CB6C71">
      <w:bookmarkStart w:id="0" w:name="_GoBack"/>
      <w:bookmarkEnd w:id="0"/>
    </w:p>
    <w:sectPr w:rsidR="00CB6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C4"/>
    <w:rsid w:val="00167A46"/>
    <w:rsid w:val="004255C4"/>
    <w:rsid w:val="00C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264B"/>
  <w15:chartTrackingRefBased/>
  <w15:docId w15:val="{B18B9C3E-7B9B-4DD3-B349-CC2E923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71"/>
    <w:pPr>
      <w:spacing w:after="200" w:line="276" w:lineRule="auto"/>
    </w:pPr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B6C71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Idade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Causas</c:v>
                </c:pt>
              </c:strCache>
            </c:strRef>
          </c:tx>
          <c:spPr>
            <a:ln>
              <a:solidFill>
                <a:srgbClr val="002060"/>
              </a:solidFill>
            </a:ln>
            <a:effectLst>
              <a:glow>
                <a:schemeClr val="accent5">
                  <a:satMod val="120000"/>
                  <a:alpha val="45000"/>
                </a:schemeClr>
              </a:glow>
            </a:effectLst>
          </c:spPr>
          <c:invertIfNegative val="0"/>
          <c:dLbls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100"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243-4705-9B9B-CF1C21376538}"/>
                </c:ext>
              </c:extLst>
            </c:dLbl>
            <c:numFmt formatCode="0.0%" sourceLinked="0"/>
            <c:spPr>
              <a:noFill/>
              <a:ln w="25376">
                <a:noFill/>
              </a:ln>
            </c:spPr>
            <c:txPr>
              <a:bodyPr/>
              <a:lstStyle/>
              <a:p>
                <a:pPr>
                  <a:defRPr sz="1100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Folha1!$A$2:$A$10</c:f>
              <c:strCache>
                <c:ptCount val="9"/>
                <c:pt idx="0">
                  <c:v>18-20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71-80</c:v>
                </c:pt>
                <c:pt idx="7">
                  <c:v>81-90</c:v>
                </c:pt>
                <c:pt idx="8">
                  <c:v>91-100</c:v>
                </c:pt>
              </c:strCache>
            </c:strRef>
          </c:cat>
          <c:val>
            <c:numRef>
              <c:f>Folha1!$B$2:$B$10</c:f>
              <c:numCache>
                <c:formatCode>0.0%</c:formatCode>
                <c:ptCount val="9"/>
                <c:pt idx="0">
                  <c:v>2.5999999999999999E-2</c:v>
                </c:pt>
                <c:pt idx="1">
                  <c:v>3.7999999999999999E-2</c:v>
                </c:pt>
                <c:pt idx="2">
                  <c:v>5.2999999999999999E-2</c:v>
                </c:pt>
                <c:pt idx="3">
                  <c:v>9.5000000000000001E-2</c:v>
                </c:pt>
                <c:pt idx="4">
                  <c:v>0.157</c:v>
                </c:pt>
                <c:pt idx="5">
                  <c:v>0.224</c:v>
                </c:pt>
                <c:pt idx="6">
                  <c:v>0.23699999999999999</c:v>
                </c:pt>
                <c:pt idx="7">
                  <c:v>0.155</c:v>
                </c:pt>
                <c:pt idx="8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43-4705-9B9B-CF1C213765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1059840"/>
        <c:axId val="34991488"/>
      </c:barChart>
      <c:catAx>
        <c:axId val="4105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34991488"/>
        <c:crosses val="autoZero"/>
        <c:auto val="1"/>
        <c:lblAlgn val="ctr"/>
        <c:lblOffset val="100"/>
        <c:noMultiLvlLbl val="0"/>
      </c:catAx>
      <c:valAx>
        <c:axId val="3499148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41059840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txPr>
    <a:bodyPr/>
    <a:lstStyle/>
    <a:p>
      <a:pPr>
        <a:defRPr sz="1798"/>
      </a:pPr>
      <a:endParaRPr lang="pt-P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dirty="0" err="1" smtClean="0"/>
              <a:t>Meses</a:t>
            </a:r>
            <a:endParaRPr lang="en-US" dirty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Causas</c:v>
                </c:pt>
              </c:strCache>
            </c:strRef>
          </c:tx>
          <c:spPr>
            <a:ln>
              <a:solidFill>
                <a:srgbClr val="002060"/>
              </a:solidFill>
            </a:ln>
            <a:effectLst>
              <a:glow>
                <a:schemeClr val="accent5">
                  <a:satMod val="120000"/>
                  <a:alpha val="45000"/>
                </a:schemeClr>
              </a:glow>
            </a:effectLst>
          </c:spPr>
          <c:invertIfNegative val="0"/>
          <c:dLbls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100"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AF6-4EFE-AAAF-EDF372144392}"/>
                </c:ext>
              </c:extLst>
            </c:dLbl>
            <c:numFmt formatCode="0.0%" sourceLinked="0"/>
            <c:spPr>
              <a:noFill/>
              <a:ln w="25376">
                <a:noFill/>
              </a:ln>
            </c:spPr>
            <c:txPr>
              <a:bodyPr/>
              <a:lstStyle/>
              <a:p>
                <a:pPr>
                  <a:defRPr sz="1100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Folha1!$B$2:$B$13</c:f>
              <c:numCache>
                <c:formatCode>0.000</c:formatCode>
                <c:ptCount val="12"/>
                <c:pt idx="0">
                  <c:v>0.10564663023679417</c:v>
                </c:pt>
                <c:pt idx="1">
                  <c:v>9.4717668488160295E-2</c:v>
                </c:pt>
                <c:pt idx="2">
                  <c:v>0.11839708561020036</c:v>
                </c:pt>
                <c:pt idx="3">
                  <c:v>9.4717668488160295E-2</c:v>
                </c:pt>
                <c:pt idx="4">
                  <c:v>7.2859744990892539E-2</c:v>
                </c:pt>
                <c:pt idx="5">
                  <c:v>5.2823315118397086E-2</c:v>
                </c:pt>
                <c:pt idx="6">
                  <c:v>6.7395264116575593E-2</c:v>
                </c:pt>
                <c:pt idx="7">
                  <c:v>3.6429872495446269E-2</c:v>
                </c:pt>
                <c:pt idx="8">
                  <c:v>4.9180327868852458E-2</c:v>
                </c:pt>
                <c:pt idx="9">
                  <c:v>6.3752276867030971E-2</c:v>
                </c:pt>
                <c:pt idx="10">
                  <c:v>8.1967213114754092E-2</c:v>
                </c:pt>
                <c:pt idx="11">
                  <c:v>0.16211293260473589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F6-4EFE-AAAF-EDF3721443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3337728"/>
        <c:axId val="34993216"/>
      </c:barChart>
      <c:catAx>
        <c:axId val="4333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34993216"/>
        <c:crosses val="autoZero"/>
        <c:auto val="1"/>
        <c:lblAlgn val="ctr"/>
        <c:lblOffset val="100"/>
        <c:noMultiLvlLbl val="0"/>
      </c:catAx>
      <c:valAx>
        <c:axId val="34993216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43337728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txPr>
    <a:bodyPr/>
    <a:lstStyle/>
    <a:p>
      <a:pPr>
        <a:defRPr sz="1798"/>
      </a:pPr>
      <a:endParaRPr lang="pt-P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Dias até recidiva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Causas</c:v>
                </c:pt>
              </c:strCache>
            </c:strRef>
          </c:tx>
          <c:spPr>
            <a:ln>
              <a:solidFill>
                <a:srgbClr val="002060"/>
              </a:solidFill>
            </a:ln>
            <a:effectLst>
              <a:glow>
                <a:schemeClr val="accent5">
                  <a:satMod val="120000"/>
                  <a:alpha val="45000"/>
                </a:schemeClr>
              </a:glow>
            </a:effectLst>
          </c:spPr>
          <c:invertIfNegative val="0"/>
          <c:cat>
            <c:numRef>
              <c:f>Folha1!$A$2:$A$30</c:f>
              <c:numCache>
                <c:formatCode>General</c:formatCode>
                <c:ptCount val="2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</c:numCache>
            </c:numRef>
          </c:cat>
          <c:val>
            <c:numRef>
              <c:f>Folha1!$B$2:$B$30</c:f>
              <c:numCache>
                <c:formatCode>0.0%</c:formatCode>
                <c:ptCount val="29"/>
                <c:pt idx="0">
                  <c:v>0.22900000000000001</c:v>
                </c:pt>
                <c:pt idx="1">
                  <c:v>0.26100000000000001</c:v>
                </c:pt>
                <c:pt idx="2">
                  <c:v>0.111</c:v>
                </c:pt>
                <c:pt idx="3">
                  <c:v>4.5999999999999999E-2</c:v>
                </c:pt>
                <c:pt idx="4">
                  <c:v>5.1999999999999998E-2</c:v>
                </c:pt>
                <c:pt idx="5">
                  <c:v>3.9E-2</c:v>
                </c:pt>
                <c:pt idx="6">
                  <c:v>3.3000000000000002E-2</c:v>
                </c:pt>
                <c:pt idx="7">
                  <c:v>3.9E-2</c:v>
                </c:pt>
                <c:pt idx="8">
                  <c:v>3.9E-2</c:v>
                </c:pt>
                <c:pt idx="9">
                  <c:v>2.5999999999999999E-2</c:v>
                </c:pt>
                <c:pt idx="10">
                  <c:v>1.2999999999999999E-2</c:v>
                </c:pt>
                <c:pt idx="11">
                  <c:v>7.0000000000000001E-3</c:v>
                </c:pt>
                <c:pt idx="12">
                  <c:v>0.02</c:v>
                </c:pt>
                <c:pt idx="13">
                  <c:v>0</c:v>
                </c:pt>
                <c:pt idx="14">
                  <c:v>0.02</c:v>
                </c:pt>
                <c:pt idx="15">
                  <c:v>0.02</c:v>
                </c:pt>
                <c:pt idx="16">
                  <c:v>7.0000000000000001E-3</c:v>
                </c:pt>
                <c:pt idx="17">
                  <c:v>1.2999999999999999E-2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7.0000000000000001E-3</c:v>
                </c:pt>
                <c:pt idx="23">
                  <c:v>7.0000000000000001E-3</c:v>
                </c:pt>
                <c:pt idx="24">
                  <c:v>0</c:v>
                </c:pt>
                <c:pt idx="25">
                  <c:v>1.2999999999999999E-2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07-480D-AA05-C4A6F00F56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"/>
        <c:axId val="43339264"/>
        <c:axId val="34994944"/>
      </c:barChart>
      <c:catAx>
        <c:axId val="4333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34994944"/>
        <c:crosses val="autoZero"/>
        <c:auto val="1"/>
        <c:lblAlgn val="ctr"/>
        <c:lblOffset val="100"/>
        <c:noMultiLvlLbl val="0"/>
      </c:catAx>
      <c:valAx>
        <c:axId val="34994944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PT"/>
          </a:p>
        </c:txPr>
        <c:crossAx val="43339264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txPr>
    <a:bodyPr/>
    <a:lstStyle/>
    <a:p>
      <a:pPr>
        <a:defRPr sz="1798"/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2</cp:revision>
  <dcterms:created xsi:type="dcterms:W3CDTF">2016-02-02T18:51:00Z</dcterms:created>
  <dcterms:modified xsi:type="dcterms:W3CDTF">2016-02-02T18:54:00Z</dcterms:modified>
</cp:coreProperties>
</file>